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1E" w:rsidRPr="0030451E" w:rsidRDefault="00320008" w:rsidP="0030451E">
      <w:pPr>
        <w:jc w:val="center"/>
        <w:rPr>
          <w:b/>
        </w:rPr>
      </w:pPr>
      <w:bookmarkStart w:id="0" w:name="_GoBack"/>
      <w:bookmarkEnd w:id="0"/>
      <w:r>
        <w:rPr>
          <w:b/>
        </w:rPr>
        <w:t>NCCA Certification Accreditation</w:t>
      </w:r>
      <w:r w:rsidR="0030451E" w:rsidRPr="0030451E">
        <w:rPr>
          <w:b/>
        </w:rPr>
        <w:t>: Self-Assessment</w:t>
      </w:r>
      <w:r w:rsidR="0097223D">
        <w:rPr>
          <w:b/>
        </w:rPr>
        <w:t xml:space="preserve"> Checklist</w:t>
      </w:r>
    </w:p>
    <w:p w:rsidR="0051737C" w:rsidRDefault="009C2EE4" w:rsidP="0051737C">
      <w:pPr>
        <w:pStyle w:val="NoSpacing"/>
      </w:pPr>
      <w:r>
        <w:t>This self-assessment tool is intended to provide guidance on your program’s readiness to submit an application for</w:t>
      </w:r>
      <w:r w:rsidR="00320008">
        <w:t xml:space="preserve"> accreditation </w:t>
      </w:r>
      <w:r w:rsidR="00C05341">
        <w:t xml:space="preserve">to </w:t>
      </w:r>
      <w:r w:rsidR="006E7543">
        <w:t xml:space="preserve">the </w:t>
      </w:r>
      <w:r w:rsidR="00320008">
        <w:t>National Commission for Certifying Agencies (NCCA). The NCCA Standards apply to certification</w:t>
      </w:r>
      <w:r w:rsidR="0051737C">
        <w:t xml:space="preserve"> program</w:t>
      </w:r>
      <w:r w:rsidR="00320008">
        <w:t>s</w:t>
      </w:r>
      <w:r w:rsidR="0051737C">
        <w:t>, not certificate of attendance or participation</w:t>
      </w:r>
      <w:r w:rsidR="00C46324">
        <w:t>,</w:t>
      </w:r>
      <w:r w:rsidR="0051737C">
        <w:t xml:space="preserve"> or certificat</w:t>
      </w:r>
      <w:r w:rsidR="00320008">
        <w:t>e</w:t>
      </w:r>
      <w:r w:rsidR="0051737C">
        <w:t xml:space="preserve"> </w:t>
      </w:r>
      <w:r w:rsidR="00320008">
        <w:t>program</w:t>
      </w:r>
      <w:r w:rsidR="00C05341">
        <w:t>s</w:t>
      </w:r>
      <w:r w:rsidR="00320008">
        <w:t>.</w:t>
      </w:r>
    </w:p>
    <w:p w:rsidR="0051737C" w:rsidRDefault="0051737C" w:rsidP="0051737C">
      <w:pPr>
        <w:pStyle w:val="NoSpacing"/>
      </w:pPr>
    </w:p>
    <w:p w:rsidR="00C46324" w:rsidRDefault="00556551" w:rsidP="0051737C">
      <w:pPr>
        <w:pStyle w:val="NoSpacing"/>
      </w:pPr>
      <w:r>
        <w:t xml:space="preserve">The checklist below is intended to identify any gaps in </w:t>
      </w:r>
      <w:r w:rsidR="00C05341">
        <w:t xml:space="preserve">evidence or </w:t>
      </w:r>
      <w:r>
        <w:t xml:space="preserve">documentation that should be addressed </w:t>
      </w:r>
      <w:r w:rsidRPr="00C46324">
        <w:rPr>
          <w:i/>
        </w:rPr>
        <w:t>before</w:t>
      </w:r>
      <w:r>
        <w:t xml:space="preserve"> an application is submitted in order to demonstrate the rigor and completeness needed to achieve </w:t>
      </w:r>
      <w:r w:rsidR="00320008">
        <w:t xml:space="preserve">or to maintain </w:t>
      </w:r>
      <w:r>
        <w:t xml:space="preserve">accreditation.  </w:t>
      </w:r>
      <w:r w:rsidR="009116BF">
        <w:t xml:space="preserve">The checklist provides a short summary of the actual </w:t>
      </w:r>
      <w:r w:rsidR="00C05341">
        <w:t>S</w:t>
      </w:r>
      <w:r w:rsidR="009116BF">
        <w:t xml:space="preserve">tandard; for </w:t>
      </w:r>
      <w:r w:rsidR="00D34FDA">
        <w:t xml:space="preserve">a </w:t>
      </w:r>
      <w:r w:rsidR="009116BF">
        <w:t>complete</w:t>
      </w:r>
      <w:r w:rsidR="00C05341">
        <w:t xml:space="preserve"> description of the S</w:t>
      </w:r>
      <w:r w:rsidR="009116BF">
        <w:t>tandard</w:t>
      </w:r>
      <w:r w:rsidR="00C05341">
        <w:t xml:space="preserve"> and its Essential Elements</w:t>
      </w:r>
      <w:r w:rsidR="00D34FDA">
        <w:t xml:space="preserve"> and</w:t>
      </w:r>
      <w:r w:rsidR="002752BC">
        <w:t xml:space="preserve"> Commentary,</w:t>
      </w:r>
      <w:r w:rsidR="009116BF">
        <w:t xml:space="preserve"> please review the </w:t>
      </w:r>
      <w:r w:rsidR="00D34FDA" w:rsidRPr="00D34FDA">
        <w:rPr>
          <w:i/>
        </w:rPr>
        <w:t>NCCA Standards for the Accreditation of Certification Programs.</w:t>
      </w:r>
      <w:r w:rsidR="00D34FDA">
        <w:t xml:space="preserve"> </w:t>
      </w:r>
    </w:p>
    <w:p w:rsidR="00C46324" w:rsidRDefault="00C46324" w:rsidP="0051737C">
      <w:pPr>
        <w:pStyle w:val="NoSpacing"/>
      </w:pPr>
    </w:p>
    <w:p w:rsidR="009E601B" w:rsidRDefault="00C05341" w:rsidP="0051737C">
      <w:pPr>
        <w:pStyle w:val="NoSpacing"/>
      </w:pPr>
      <w:r>
        <w:t>Self-assessed r</w:t>
      </w:r>
      <w:r w:rsidR="006E7543">
        <w:t>esponses in the “working toward” or “do</w:t>
      </w:r>
      <w:r>
        <w:t xml:space="preserve"> </w:t>
      </w:r>
      <w:r w:rsidR="006E7543">
        <w:t>n</w:t>
      </w:r>
      <w:r>
        <w:t>o</w:t>
      </w:r>
      <w:r w:rsidR="006E7543">
        <w:t xml:space="preserve">t currently have” columns </w:t>
      </w:r>
      <w:r>
        <w:t>will likely</w:t>
      </w:r>
      <w:r w:rsidR="006E7543">
        <w:t xml:space="preserve"> indicate that a program does not </w:t>
      </w:r>
      <w:r w:rsidR="00320008">
        <w:t xml:space="preserve">currently </w:t>
      </w:r>
      <w:r w:rsidR="00C46324">
        <w:t xml:space="preserve">meet all of the </w:t>
      </w:r>
      <w:r>
        <w:t>S</w:t>
      </w:r>
      <w:r w:rsidR="00C46324">
        <w:t xml:space="preserve">tandards. The </w:t>
      </w:r>
      <w:r w:rsidR="00320008">
        <w:t>NCCA</w:t>
      </w:r>
      <w:r w:rsidR="00C46324">
        <w:t xml:space="preserve"> strongly advises that you</w:t>
      </w:r>
      <w:r>
        <w:t>r program be</w:t>
      </w:r>
      <w:r w:rsidR="00866DC3">
        <w:t xml:space="preserve"> able to respond favorably to </w:t>
      </w:r>
      <w:r w:rsidR="00866DC3" w:rsidRPr="00C46324">
        <w:rPr>
          <w:i/>
        </w:rPr>
        <w:t>all</w:t>
      </w:r>
      <w:r w:rsidR="00866DC3">
        <w:t xml:space="preserve"> of the criteria below prior to your application submission.  </w:t>
      </w:r>
    </w:p>
    <w:p w:rsidR="009116BF" w:rsidRDefault="009116BF" w:rsidP="0030451E">
      <w:pPr>
        <w:pStyle w:val="NoSpacing"/>
      </w:pPr>
    </w:p>
    <w:p w:rsidR="00556551" w:rsidRDefault="00C46324" w:rsidP="0030451E">
      <w:pPr>
        <w:pStyle w:val="NoSpacing"/>
      </w:pPr>
      <w:r>
        <w:t xml:space="preserve">Please note that a </w:t>
      </w:r>
      <w:r w:rsidRPr="00C46324">
        <w:rPr>
          <w:i/>
        </w:rPr>
        <w:t>self-assessment</w:t>
      </w:r>
      <w:r>
        <w:t xml:space="preserve"> of “having </w:t>
      </w:r>
      <w:r w:rsidR="00C05341">
        <w:t xml:space="preserve">complete </w:t>
      </w:r>
      <w:r>
        <w:t xml:space="preserve">evidence to support this criterion” does not guarantee </w:t>
      </w:r>
      <w:r w:rsidR="00C05341">
        <w:t>that the evidence will be interpreted by the NCCA as fully complying with the Standard</w:t>
      </w:r>
      <w:r>
        <w:t>.</w:t>
      </w:r>
      <w:r w:rsidR="00C05341">
        <w:t xml:space="preserve"> It is only intended as an organizing framework for your program.</w:t>
      </w:r>
      <w:r>
        <w:t xml:space="preserve"> </w:t>
      </w:r>
      <w:r w:rsidR="00556551">
        <w:t>Once</w:t>
      </w:r>
      <w:r w:rsidR="00E7798D">
        <w:t xml:space="preserve"> you</w:t>
      </w:r>
      <w:r w:rsidR="00C05341">
        <w:t>r program</w:t>
      </w:r>
      <w:r w:rsidR="00E7798D">
        <w:t xml:space="preserve"> believe</w:t>
      </w:r>
      <w:r w:rsidR="00C05341">
        <w:t>s</w:t>
      </w:r>
      <w:r w:rsidR="00E7798D">
        <w:t xml:space="preserve"> that</w:t>
      </w:r>
      <w:r w:rsidR="00556551">
        <w:t xml:space="preserve"> the evidence is complete and submit</w:t>
      </w:r>
      <w:r w:rsidR="00C05341">
        <w:t>s its</w:t>
      </w:r>
      <w:r w:rsidR="00556551">
        <w:t xml:space="preserve"> application for accreditation, the </w:t>
      </w:r>
      <w:r w:rsidR="00320008">
        <w:t>NCCA</w:t>
      </w:r>
      <w:r w:rsidR="00556551">
        <w:t xml:space="preserve"> will review each application </w:t>
      </w:r>
      <w:r w:rsidR="00C05341">
        <w:t xml:space="preserve">relative </w:t>
      </w:r>
      <w:r w:rsidR="00E7798D">
        <w:t xml:space="preserve">to the intent of the Standard </w:t>
      </w:r>
      <w:r w:rsidR="00556551">
        <w:t xml:space="preserve">to </w:t>
      </w:r>
      <w:r w:rsidR="00C05341">
        <w:t>evaluate</w:t>
      </w:r>
      <w:r w:rsidR="00556551">
        <w:t xml:space="preserve"> compliance and render </w:t>
      </w:r>
      <w:r w:rsidR="005134B2">
        <w:t>an accreditation decision.</w:t>
      </w:r>
    </w:p>
    <w:p w:rsidR="00984C70" w:rsidRDefault="00984C70" w:rsidP="0030451E">
      <w:pPr>
        <w:pStyle w:val="NoSpacing"/>
      </w:pPr>
    </w:p>
    <w:p w:rsidR="00D25E1D" w:rsidRDefault="00D25E1D" w:rsidP="0030451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1350"/>
        <w:gridCol w:w="1440"/>
        <w:gridCol w:w="1368"/>
      </w:tblGrid>
      <w:tr w:rsidR="009C2EE4" w:rsidTr="00503034">
        <w:tc>
          <w:tcPr>
            <w:tcW w:w="5418" w:type="dxa"/>
          </w:tcPr>
          <w:p w:rsidR="0051737C" w:rsidRDefault="0051737C" w:rsidP="00DA5F47">
            <w:pPr>
              <w:jc w:val="center"/>
              <w:rPr>
                <w:b/>
              </w:rPr>
            </w:pPr>
          </w:p>
          <w:p w:rsidR="0051737C" w:rsidRDefault="0051737C" w:rsidP="00DA5F47">
            <w:pPr>
              <w:jc w:val="center"/>
              <w:rPr>
                <w:b/>
              </w:rPr>
            </w:pPr>
          </w:p>
          <w:p w:rsidR="009C2EE4" w:rsidRPr="00DA5F47" w:rsidRDefault="009C2EE4" w:rsidP="00DA5F47">
            <w:pPr>
              <w:jc w:val="center"/>
              <w:rPr>
                <w:b/>
              </w:rPr>
            </w:pPr>
            <w:r w:rsidRPr="00DA5F47">
              <w:rPr>
                <w:b/>
              </w:rPr>
              <w:t>Self-Assessment Criteria</w:t>
            </w:r>
          </w:p>
        </w:tc>
        <w:tc>
          <w:tcPr>
            <w:tcW w:w="1350" w:type="dxa"/>
          </w:tcPr>
          <w:p w:rsidR="009C2EE4" w:rsidRPr="00DA5F47" w:rsidRDefault="009C2EE4" w:rsidP="00C05341">
            <w:pPr>
              <w:jc w:val="center"/>
              <w:rPr>
                <w:b/>
              </w:rPr>
            </w:pPr>
            <w:r>
              <w:rPr>
                <w:b/>
              </w:rPr>
              <w:t xml:space="preserve">Have </w:t>
            </w:r>
            <w:r w:rsidR="00C05341">
              <w:rPr>
                <w:b/>
              </w:rPr>
              <w:t xml:space="preserve">complete </w:t>
            </w:r>
            <w:r>
              <w:rPr>
                <w:b/>
              </w:rPr>
              <w:t>e</w:t>
            </w:r>
            <w:r w:rsidR="00C46324">
              <w:rPr>
                <w:b/>
              </w:rPr>
              <w:t>vidence to support this criterion</w:t>
            </w:r>
          </w:p>
        </w:tc>
        <w:tc>
          <w:tcPr>
            <w:tcW w:w="1440" w:type="dxa"/>
          </w:tcPr>
          <w:p w:rsidR="009C2EE4" w:rsidRPr="00DA5F47" w:rsidRDefault="009C2EE4" w:rsidP="002D5B5A">
            <w:pPr>
              <w:jc w:val="center"/>
              <w:rPr>
                <w:b/>
              </w:rPr>
            </w:pPr>
            <w:r>
              <w:rPr>
                <w:b/>
              </w:rPr>
              <w:t xml:space="preserve">Working towards completion of evidence </w:t>
            </w:r>
          </w:p>
        </w:tc>
        <w:tc>
          <w:tcPr>
            <w:tcW w:w="1368" w:type="dxa"/>
          </w:tcPr>
          <w:p w:rsidR="002D5B5A" w:rsidRPr="00DA5F47" w:rsidRDefault="009C2EE4" w:rsidP="00C05341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  <w:r w:rsidR="00C05341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="00C05341">
              <w:rPr>
                <w:b/>
              </w:rPr>
              <w:t>o</w:t>
            </w:r>
            <w:r>
              <w:rPr>
                <w:b/>
              </w:rPr>
              <w:t>t currently have evidence</w:t>
            </w:r>
          </w:p>
        </w:tc>
      </w:tr>
      <w:tr w:rsidR="003A4DCF" w:rsidTr="003A4DCF">
        <w:tc>
          <w:tcPr>
            <w:tcW w:w="9576" w:type="dxa"/>
            <w:gridSpan w:val="4"/>
            <w:shd w:val="clear" w:color="auto" w:fill="D9D9D9" w:themeFill="background1" w:themeFillShade="D9"/>
          </w:tcPr>
          <w:p w:rsidR="003A4DCF" w:rsidRDefault="003A4DCF" w:rsidP="00564F13">
            <w:pPr>
              <w:jc w:val="center"/>
              <w:rPr>
                <w:b/>
              </w:rPr>
            </w:pPr>
            <w:r>
              <w:rPr>
                <w:b/>
              </w:rPr>
              <w:t>Standard 1</w:t>
            </w:r>
            <w:r w:rsidR="00564F13">
              <w:rPr>
                <w:b/>
              </w:rPr>
              <w:t>-</w:t>
            </w:r>
            <w:r w:rsidR="006D7667">
              <w:rPr>
                <w:b/>
              </w:rPr>
              <w:t>5</w:t>
            </w:r>
            <w:r w:rsidR="00564F13">
              <w:rPr>
                <w:b/>
              </w:rPr>
              <w:t>: Purpose, Governance, and Stakeholders</w:t>
            </w:r>
          </w:p>
        </w:tc>
      </w:tr>
      <w:tr w:rsidR="009C2EE4" w:rsidTr="00503034">
        <w:tc>
          <w:tcPr>
            <w:tcW w:w="5418" w:type="dxa"/>
          </w:tcPr>
          <w:p w:rsidR="00E75186" w:rsidRDefault="00E0789E" w:rsidP="005134B2">
            <w:r>
              <w:t>Well-defined purpose, population being certified, and justification for appropriateness of activities.</w:t>
            </w:r>
            <w:r w:rsidR="005134B2">
              <w:t xml:space="preserve"> </w:t>
            </w:r>
            <w:r w:rsidR="00E75186">
              <w:t>(Standard 1)</w:t>
            </w:r>
          </w:p>
          <w:p w:rsidR="00496A3A" w:rsidRDefault="00496A3A" w:rsidP="005134B2"/>
        </w:tc>
        <w:tc>
          <w:tcPr>
            <w:tcW w:w="1350" w:type="dxa"/>
          </w:tcPr>
          <w:p w:rsidR="009C2EE4" w:rsidRDefault="009C2EE4"/>
        </w:tc>
        <w:tc>
          <w:tcPr>
            <w:tcW w:w="1440" w:type="dxa"/>
          </w:tcPr>
          <w:p w:rsidR="009C2EE4" w:rsidRDefault="009C2EE4"/>
        </w:tc>
        <w:tc>
          <w:tcPr>
            <w:tcW w:w="1368" w:type="dxa"/>
          </w:tcPr>
          <w:p w:rsidR="009C2EE4" w:rsidRDefault="009C2EE4"/>
        </w:tc>
      </w:tr>
      <w:tr w:rsidR="0051737C" w:rsidTr="00503034">
        <w:tc>
          <w:tcPr>
            <w:tcW w:w="5418" w:type="dxa"/>
          </w:tcPr>
          <w:p w:rsidR="00E75186" w:rsidRDefault="00E0789E" w:rsidP="005134B2">
            <w:r>
              <w:t>Autonomy in essential certification decisions</w:t>
            </w:r>
            <w:r w:rsidR="006D7667">
              <w:t xml:space="preserve">, </w:t>
            </w:r>
            <w:r w:rsidR="005134B2">
              <w:t xml:space="preserve">prevention of undue influence, and management of conflict of interest. </w:t>
            </w:r>
            <w:r w:rsidR="00E75186">
              <w:t>(Standard 2</w:t>
            </w:r>
            <w:r w:rsidR="00E731F8">
              <w:t xml:space="preserve"> </w:t>
            </w:r>
            <w:r w:rsidR="00E75186">
              <w:t xml:space="preserve">A </w:t>
            </w:r>
            <w:r w:rsidR="006D7667">
              <w:t>through E)</w:t>
            </w:r>
          </w:p>
        </w:tc>
        <w:tc>
          <w:tcPr>
            <w:tcW w:w="1350" w:type="dxa"/>
          </w:tcPr>
          <w:p w:rsidR="0051737C" w:rsidRDefault="0051737C"/>
        </w:tc>
        <w:tc>
          <w:tcPr>
            <w:tcW w:w="1440" w:type="dxa"/>
          </w:tcPr>
          <w:p w:rsidR="0051737C" w:rsidRDefault="0051737C"/>
        </w:tc>
        <w:tc>
          <w:tcPr>
            <w:tcW w:w="1368" w:type="dxa"/>
          </w:tcPr>
          <w:p w:rsidR="0051737C" w:rsidRDefault="0051737C"/>
        </w:tc>
      </w:tr>
      <w:tr w:rsidR="00E0789E" w:rsidTr="00503034">
        <w:tc>
          <w:tcPr>
            <w:tcW w:w="5418" w:type="dxa"/>
          </w:tcPr>
          <w:p w:rsidR="00E0789E" w:rsidRDefault="00A369CF" w:rsidP="005134B2">
            <w:r>
              <w:t>Distinct firewall between education and certification activities; no conflict of interest</w:t>
            </w:r>
            <w:r w:rsidR="00E75186">
              <w:t xml:space="preserve"> </w:t>
            </w:r>
            <w:r w:rsidR="006D7667">
              <w:t>or unfair practices (Standard 3)</w:t>
            </w:r>
          </w:p>
        </w:tc>
        <w:tc>
          <w:tcPr>
            <w:tcW w:w="1350" w:type="dxa"/>
          </w:tcPr>
          <w:p w:rsidR="00E0789E" w:rsidRDefault="00E0789E"/>
        </w:tc>
        <w:tc>
          <w:tcPr>
            <w:tcW w:w="1440" w:type="dxa"/>
          </w:tcPr>
          <w:p w:rsidR="00E0789E" w:rsidRDefault="00E0789E"/>
        </w:tc>
        <w:tc>
          <w:tcPr>
            <w:tcW w:w="1368" w:type="dxa"/>
          </w:tcPr>
          <w:p w:rsidR="00E0789E" w:rsidRDefault="00E0789E"/>
        </w:tc>
      </w:tr>
      <w:tr w:rsidR="00FB29B8" w:rsidTr="00503034">
        <w:tc>
          <w:tcPr>
            <w:tcW w:w="5418" w:type="dxa"/>
          </w:tcPr>
          <w:p w:rsidR="00FB29B8" w:rsidRDefault="00081904" w:rsidP="005134B2">
            <w:r>
              <w:t>Certification program is financially viable</w:t>
            </w:r>
            <w:r w:rsidR="00E75186">
              <w:t xml:space="preserve"> (Standard 4)</w:t>
            </w:r>
          </w:p>
          <w:p w:rsidR="00496A3A" w:rsidRDefault="00496A3A" w:rsidP="005134B2"/>
        </w:tc>
        <w:tc>
          <w:tcPr>
            <w:tcW w:w="1350" w:type="dxa"/>
          </w:tcPr>
          <w:p w:rsidR="00FB29B8" w:rsidRDefault="00FB29B8"/>
        </w:tc>
        <w:tc>
          <w:tcPr>
            <w:tcW w:w="1440" w:type="dxa"/>
          </w:tcPr>
          <w:p w:rsidR="00FB29B8" w:rsidRDefault="00FB29B8"/>
        </w:tc>
        <w:tc>
          <w:tcPr>
            <w:tcW w:w="1368" w:type="dxa"/>
          </w:tcPr>
          <w:p w:rsidR="00FB29B8" w:rsidRDefault="00FB29B8"/>
        </w:tc>
      </w:tr>
      <w:tr w:rsidR="00002098" w:rsidTr="00503034">
        <w:tc>
          <w:tcPr>
            <w:tcW w:w="5418" w:type="dxa"/>
          </w:tcPr>
          <w:p w:rsidR="00002098" w:rsidRDefault="00002098" w:rsidP="005134B2">
            <w:r>
              <w:t>There is sufficient staff resources/expertise and use of consultants to conduct an effective program (Standard 5)</w:t>
            </w:r>
          </w:p>
        </w:tc>
        <w:tc>
          <w:tcPr>
            <w:tcW w:w="1350" w:type="dxa"/>
          </w:tcPr>
          <w:p w:rsidR="00002098" w:rsidRDefault="00002098"/>
        </w:tc>
        <w:tc>
          <w:tcPr>
            <w:tcW w:w="1440" w:type="dxa"/>
          </w:tcPr>
          <w:p w:rsidR="00002098" w:rsidRDefault="00002098"/>
        </w:tc>
        <w:tc>
          <w:tcPr>
            <w:tcW w:w="1368" w:type="dxa"/>
          </w:tcPr>
          <w:p w:rsidR="00002098" w:rsidRDefault="00002098"/>
        </w:tc>
      </w:tr>
      <w:tr w:rsidR="00002098" w:rsidTr="00FD2D15">
        <w:tc>
          <w:tcPr>
            <w:tcW w:w="9576" w:type="dxa"/>
            <w:gridSpan w:val="4"/>
          </w:tcPr>
          <w:p w:rsidR="00002098" w:rsidRDefault="00002098" w:rsidP="007060F2">
            <w:pPr>
              <w:rPr>
                <w:i/>
              </w:rPr>
            </w:pPr>
            <w:r>
              <w:rPr>
                <w:b/>
                <w:i/>
              </w:rPr>
              <w:t>Illustrative sources of s</w:t>
            </w:r>
            <w:r w:rsidRPr="00081904">
              <w:rPr>
                <w:b/>
                <w:i/>
              </w:rPr>
              <w:t xml:space="preserve">upporting evidence: </w:t>
            </w:r>
            <w:r w:rsidRPr="00081904">
              <w:rPr>
                <w:i/>
              </w:rPr>
              <w:t xml:space="preserve">proof of legal status, </w:t>
            </w:r>
            <w:r w:rsidR="005134B2">
              <w:rPr>
                <w:i/>
              </w:rPr>
              <w:t xml:space="preserve">governance documents, </w:t>
            </w:r>
            <w:r w:rsidRPr="00081904">
              <w:rPr>
                <w:i/>
              </w:rPr>
              <w:t>bylaws, policies and procedures, organizational charts</w:t>
            </w:r>
            <w:r w:rsidR="005134B2">
              <w:rPr>
                <w:i/>
              </w:rPr>
              <w:t xml:space="preserve">, </w:t>
            </w:r>
            <w:r w:rsidR="00496A3A">
              <w:rPr>
                <w:i/>
              </w:rPr>
              <w:t xml:space="preserve">candidate handbooks, </w:t>
            </w:r>
            <w:r w:rsidR="005134B2">
              <w:rPr>
                <w:i/>
              </w:rPr>
              <w:t>publicly available information about certification preparation, financial statements.</w:t>
            </w:r>
          </w:p>
          <w:p w:rsidR="00496A3A" w:rsidRPr="00081904" w:rsidRDefault="00496A3A" w:rsidP="007060F2">
            <w:pPr>
              <w:rPr>
                <w:b/>
                <w:i/>
              </w:rPr>
            </w:pPr>
          </w:p>
        </w:tc>
      </w:tr>
      <w:tr w:rsidR="00002098" w:rsidTr="003A4DCF">
        <w:tc>
          <w:tcPr>
            <w:tcW w:w="9576" w:type="dxa"/>
            <w:gridSpan w:val="4"/>
            <w:shd w:val="clear" w:color="auto" w:fill="D9D9D9" w:themeFill="background1" w:themeFillShade="D9"/>
          </w:tcPr>
          <w:p w:rsidR="00002098" w:rsidRDefault="00002098" w:rsidP="00496A3A">
            <w:pPr>
              <w:jc w:val="center"/>
            </w:pPr>
            <w:r>
              <w:rPr>
                <w:b/>
              </w:rPr>
              <w:lastRenderedPageBreak/>
              <w:t>Standards 6-</w:t>
            </w:r>
            <w:r w:rsidR="00496A3A">
              <w:rPr>
                <w:b/>
              </w:rPr>
              <w:t>7</w:t>
            </w:r>
            <w:r>
              <w:rPr>
                <w:b/>
              </w:rPr>
              <w:t>: Responsibilities to Stakeholders</w:t>
            </w:r>
          </w:p>
        </w:tc>
      </w:tr>
      <w:tr w:rsidR="005134B2" w:rsidTr="00496A3A">
        <w:trPr>
          <w:trHeight w:val="2672"/>
        </w:trPr>
        <w:tc>
          <w:tcPr>
            <w:tcW w:w="9576" w:type="dxa"/>
            <w:gridSpan w:val="4"/>
          </w:tcPr>
          <w:p w:rsidR="005134B2" w:rsidRDefault="005134B2" w:rsidP="00496A3A">
            <w:r>
              <w:t>Certification information must be  readily available to existing and prospective certificants (Standard 6):</w:t>
            </w:r>
          </w:p>
          <w:p w:rsidR="005134B2" w:rsidRDefault="005134B2" w:rsidP="002752BC">
            <w:pPr>
              <w:numPr>
                <w:ilvl w:val="1"/>
                <w:numId w:val="2"/>
              </w:numPr>
              <w:ind w:left="990" w:hanging="270"/>
            </w:pPr>
            <w:r>
              <w:t>Application and eligibility</w:t>
            </w:r>
          </w:p>
          <w:p w:rsidR="005134B2" w:rsidRDefault="005134B2" w:rsidP="002752BC">
            <w:pPr>
              <w:numPr>
                <w:ilvl w:val="1"/>
                <w:numId w:val="2"/>
              </w:numPr>
              <w:ind w:left="990" w:hanging="270"/>
            </w:pPr>
            <w:r>
              <w:t>Description of exam</w:t>
            </w:r>
          </w:p>
          <w:p w:rsidR="005134B2" w:rsidRDefault="005134B2" w:rsidP="002752BC">
            <w:pPr>
              <w:numPr>
                <w:ilvl w:val="1"/>
                <w:numId w:val="2"/>
              </w:numPr>
              <w:ind w:left="990" w:hanging="270"/>
            </w:pPr>
            <w:r>
              <w:t>All modes of test delivery</w:t>
            </w:r>
          </w:p>
          <w:p w:rsidR="005134B2" w:rsidRDefault="005134B2" w:rsidP="002752BC">
            <w:pPr>
              <w:numPr>
                <w:ilvl w:val="1"/>
                <w:numId w:val="2"/>
              </w:numPr>
              <w:ind w:left="990" w:hanging="270"/>
            </w:pPr>
            <w:r>
              <w:t>Testing accommodations policy</w:t>
            </w:r>
          </w:p>
          <w:p w:rsidR="005134B2" w:rsidRDefault="005134B2" w:rsidP="002752BC">
            <w:pPr>
              <w:numPr>
                <w:ilvl w:val="1"/>
                <w:numId w:val="2"/>
              </w:numPr>
              <w:ind w:left="990" w:hanging="270"/>
            </w:pPr>
            <w:r>
              <w:t>Nondiscrimination and fairness</w:t>
            </w:r>
          </w:p>
          <w:p w:rsidR="005134B2" w:rsidRDefault="005134B2" w:rsidP="002752BC">
            <w:pPr>
              <w:numPr>
                <w:ilvl w:val="1"/>
                <w:numId w:val="2"/>
              </w:numPr>
              <w:ind w:left="990" w:hanging="270"/>
            </w:pPr>
            <w:r>
              <w:t>Retesting policy</w:t>
            </w:r>
          </w:p>
          <w:p w:rsidR="005134B2" w:rsidRDefault="005134B2" w:rsidP="00C65A6E">
            <w:pPr>
              <w:numPr>
                <w:ilvl w:val="1"/>
                <w:numId w:val="2"/>
              </w:numPr>
              <w:ind w:left="990" w:hanging="270"/>
            </w:pPr>
            <w:r>
              <w:t>Reconsideration of adverse decisions</w:t>
            </w:r>
          </w:p>
          <w:p w:rsidR="005134B2" w:rsidRDefault="005134B2" w:rsidP="00C65A6E">
            <w:pPr>
              <w:numPr>
                <w:ilvl w:val="1"/>
                <w:numId w:val="2"/>
              </w:numPr>
              <w:ind w:left="990" w:hanging="270"/>
            </w:pPr>
            <w:r>
              <w:t>Annual reports of statistics</w:t>
            </w:r>
          </w:p>
        </w:tc>
      </w:tr>
      <w:tr w:rsidR="00002098" w:rsidTr="00503034">
        <w:tc>
          <w:tcPr>
            <w:tcW w:w="5418" w:type="dxa"/>
          </w:tcPr>
          <w:p w:rsidR="00002098" w:rsidRDefault="00496A3A" w:rsidP="00554B6D">
            <w:r>
              <w:t xml:space="preserve">Evidence of periodic review of all programs policies related to certification: </w:t>
            </w:r>
          </w:p>
          <w:p w:rsidR="00496A3A" w:rsidRDefault="00496A3A" w:rsidP="00496A3A">
            <w:pPr>
              <w:pStyle w:val="ListParagraph"/>
              <w:numPr>
                <w:ilvl w:val="0"/>
                <w:numId w:val="14"/>
              </w:numPr>
            </w:pPr>
            <w:r>
              <w:t>Eligibility</w:t>
            </w:r>
          </w:p>
          <w:p w:rsidR="00496A3A" w:rsidRDefault="00496A3A" w:rsidP="00496A3A">
            <w:pPr>
              <w:pStyle w:val="ListParagraph"/>
              <w:numPr>
                <w:ilvl w:val="0"/>
                <w:numId w:val="14"/>
              </w:numPr>
            </w:pPr>
            <w:r>
              <w:t>Complaints and disciplinary action</w:t>
            </w:r>
          </w:p>
          <w:p w:rsidR="00496A3A" w:rsidRDefault="00496A3A" w:rsidP="00496A3A">
            <w:pPr>
              <w:pStyle w:val="ListParagraph"/>
              <w:numPr>
                <w:ilvl w:val="0"/>
                <w:numId w:val="14"/>
              </w:numPr>
            </w:pPr>
            <w:r>
              <w:t>Fees or other requirements that might unreasonably limit access</w:t>
            </w:r>
          </w:p>
          <w:p w:rsidR="00496A3A" w:rsidRDefault="00496A3A" w:rsidP="00496A3A">
            <w:pPr>
              <w:pStyle w:val="ListParagraph"/>
              <w:numPr>
                <w:ilvl w:val="0"/>
                <w:numId w:val="14"/>
              </w:numPr>
            </w:pPr>
            <w:r>
              <w:t>Retesting policy</w:t>
            </w:r>
          </w:p>
          <w:p w:rsidR="00496A3A" w:rsidRDefault="00496A3A" w:rsidP="00496A3A">
            <w:pPr>
              <w:pStyle w:val="ListParagraph"/>
              <w:numPr>
                <w:ilvl w:val="0"/>
                <w:numId w:val="14"/>
              </w:numPr>
            </w:pPr>
            <w:r>
              <w:t>Policy for accommodations</w:t>
            </w:r>
          </w:p>
          <w:p w:rsidR="00496A3A" w:rsidRDefault="00496A3A" w:rsidP="00496A3A">
            <w:pPr>
              <w:pStyle w:val="ListParagraph"/>
              <w:numPr>
                <w:ilvl w:val="0"/>
                <w:numId w:val="14"/>
              </w:numPr>
            </w:pPr>
            <w:r>
              <w:t>All policies and procedures to obtain and maintain certification (including reconsideration of adverse decisions</w:t>
            </w:r>
          </w:p>
        </w:tc>
        <w:tc>
          <w:tcPr>
            <w:tcW w:w="1350" w:type="dxa"/>
          </w:tcPr>
          <w:p w:rsidR="00002098" w:rsidRDefault="00002098"/>
        </w:tc>
        <w:tc>
          <w:tcPr>
            <w:tcW w:w="1440" w:type="dxa"/>
          </w:tcPr>
          <w:p w:rsidR="00002098" w:rsidRDefault="00002098"/>
        </w:tc>
        <w:tc>
          <w:tcPr>
            <w:tcW w:w="1368" w:type="dxa"/>
          </w:tcPr>
          <w:p w:rsidR="00002098" w:rsidRDefault="00002098"/>
        </w:tc>
      </w:tr>
      <w:tr w:rsidR="00496A3A" w:rsidTr="00C65A6E">
        <w:tc>
          <w:tcPr>
            <w:tcW w:w="9576" w:type="dxa"/>
            <w:gridSpan w:val="4"/>
          </w:tcPr>
          <w:p w:rsidR="00496A3A" w:rsidRDefault="00496A3A">
            <w:r>
              <w:rPr>
                <w:b/>
                <w:i/>
              </w:rPr>
              <w:t>Illustrative sources of s</w:t>
            </w:r>
            <w:r w:rsidRPr="00081904">
              <w:rPr>
                <w:b/>
                <w:i/>
              </w:rPr>
              <w:t>upporting evidence:</w:t>
            </w:r>
            <w:r>
              <w:rPr>
                <w:b/>
                <w:i/>
              </w:rPr>
              <w:t xml:space="preserve"> </w:t>
            </w:r>
            <w:r w:rsidRPr="00496A3A">
              <w:rPr>
                <w:i/>
              </w:rPr>
              <w:t>policies and procedures manual, website pages, candidate handbook.</w:t>
            </w:r>
          </w:p>
        </w:tc>
      </w:tr>
      <w:tr w:rsidR="00496A3A" w:rsidTr="00496A3A">
        <w:tc>
          <w:tcPr>
            <w:tcW w:w="9576" w:type="dxa"/>
            <w:gridSpan w:val="4"/>
            <w:shd w:val="clear" w:color="auto" w:fill="BFBFBF" w:themeFill="background1" w:themeFillShade="BF"/>
          </w:tcPr>
          <w:p w:rsidR="00496A3A" w:rsidRPr="00BD6213" w:rsidRDefault="00496A3A" w:rsidP="00BD6213">
            <w:pPr>
              <w:jc w:val="center"/>
              <w:rPr>
                <w:b/>
              </w:rPr>
            </w:pPr>
            <w:r w:rsidRPr="00BD6213">
              <w:rPr>
                <w:b/>
              </w:rPr>
              <w:t>Standard 8: Awarding of certification</w:t>
            </w:r>
          </w:p>
        </w:tc>
      </w:tr>
      <w:tr w:rsidR="00002098" w:rsidTr="00503034">
        <w:tc>
          <w:tcPr>
            <w:tcW w:w="5418" w:type="dxa"/>
          </w:tcPr>
          <w:p w:rsidR="00002098" w:rsidRDefault="00002098" w:rsidP="00554B6D">
            <w:r>
              <w:t xml:space="preserve">Certification is awarded after appropriate evaluation of knowledge and skills only, and grandfathering is not permitted once </w:t>
            </w:r>
            <w:proofErr w:type="gramStart"/>
            <w:r>
              <w:t>accredited</w:t>
            </w:r>
            <w:r w:rsidR="00496A3A">
              <w:t>(</w:t>
            </w:r>
            <w:proofErr w:type="gramEnd"/>
            <w:r w:rsidR="00496A3A">
              <w:t>Standard 8A).</w:t>
            </w:r>
          </w:p>
        </w:tc>
        <w:tc>
          <w:tcPr>
            <w:tcW w:w="1350" w:type="dxa"/>
          </w:tcPr>
          <w:p w:rsidR="00002098" w:rsidRDefault="00002098"/>
        </w:tc>
        <w:tc>
          <w:tcPr>
            <w:tcW w:w="1440" w:type="dxa"/>
          </w:tcPr>
          <w:p w:rsidR="00002098" w:rsidRDefault="00002098"/>
        </w:tc>
        <w:tc>
          <w:tcPr>
            <w:tcW w:w="1368" w:type="dxa"/>
          </w:tcPr>
          <w:p w:rsidR="00002098" w:rsidRDefault="00002098"/>
        </w:tc>
      </w:tr>
      <w:tr w:rsidR="00002098" w:rsidTr="00FD2D15">
        <w:tc>
          <w:tcPr>
            <w:tcW w:w="5418" w:type="dxa"/>
            <w:tcBorders>
              <w:bottom w:val="single" w:sz="4" w:space="0" w:color="auto"/>
            </w:tcBorders>
          </w:tcPr>
          <w:p w:rsidR="00002098" w:rsidRDefault="00496A3A" w:rsidP="00554B6D">
            <w:r>
              <w:t>Reciprocity of certification without testing can only be done with demonstration of content and empirical equivalence (Standard 8B).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44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368" w:type="dxa"/>
            <w:tcBorders>
              <w:bottom w:val="single" w:sz="4" w:space="0" w:color="auto"/>
            </w:tcBorders>
          </w:tcPr>
          <w:p w:rsidR="00002098" w:rsidRDefault="00002098"/>
        </w:tc>
      </w:tr>
      <w:tr w:rsidR="00496A3A" w:rsidTr="00FD2D15">
        <w:tc>
          <w:tcPr>
            <w:tcW w:w="5418" w:type="dxa"/>
            <w:tcBorders>
              <w:bottom w:val="single" w:sz="4" w:space="0" w:color="auto"/>
            </w:tcBorders>
          </w:tcPr>
          <w:p w:rsidR="00496A3A" w:rsidRDefault="00496A3A" w:rsidP="00554B6D">
            <w:r>
              <w:t>Policy for protection of use and misuse of certification marks, logos.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96A3A" w:rsidRDefault="00496A3A"/>
        </w:tc>
        <w:tc>
          <w:tcPr>
            <w:tcW w:w="1440" w:type="dxa"/>
            <w:tcBorders>
              <w:bottom w:val="single" w:sz="4" w:space="0" w:color="auto"/>
            </w:tcBorders>
          </w:tcPr>
          <w:p w:rsidR="00496A3A" w:rsidRDefault="00496A3A"/>
        </w:tc>
        <w:tc>
          <w:tcPr>
            <w:tcW w:w="1368" w:type="dxa"/>
            <w:tcBorders>
              <w:bottom w:val="single" w:sz="4" w:space="0" w:color="auto"/>
            </w:tcBorders>
          </w:tcPr>
          <w:p w:rsidR="00496A3A" w:rsidRDefault="00496A3A"/>
        </w:tc>
      </w:tr>
      <w:tr w:rsidR="00554B6D" w:rsidTr="00C65A6E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554B6D" w:rsidRDefault="00554B6D" w:rsidP="00636ACD">
            <w:pPr>
              <w:rPr>
                <w:i/>
              </w:rPr>
            </w:pPr>
            <w:r>
              <w:rPr>
                <w:b/>
                <w:i/>
              </w:rPr>
              <w:t>Illustrative sources of s</w:t>
            </w:r>
            <w:r w:rsidRPr="00081904">
              <w:rPr>
                <w:b/>
                <w:i/>
              </w:rPr>
              <w:t>upporting evidence:</w:t>
            </w:r>
            <w:r w:rsidR="00636ACD">
              <w:rPr>
                <w:b/>
                <w:i/>
              </w:rPr>
              <w:t xml:space="preserve"> </w:t>
            </w:r>
            <w:r w:rsidR="00636ACD" w:rsidRPr="00636ACD">
              <w:rPr>
                <w:i/>
              </w:rPr>
              <w:t>candidate h</w:t>
            </w:r>
            <w:r w:rsidR="00636ACD">
              <w:rPr>
                <w:i/>
              </w:rPr>
              <w:t>andbook, policies and procedure, website.</w:t>
            </w:r>
          </w:p>
          <w:p w:rsidR="00CD2174" w:rsidRDefault="00CD2174" w:rsidP="00636ACD"/>
        </w:tc>
      </w:tr>
      <w:tr w:rsidR="00BD6213" w:rsidTr="00BD6213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D6213" w:rsidRPr="00BD6213" w:rsidRDefault="00BD6213" w:rsidP="00BD6213">
            <w:pPr>
              <w:jc w:val="center"/>
              <w:rPr>
                <w:b/>
              </w:rPr>
            </w:pPr>
            <w:r w:rsidRPr="00BD6213">
              <w:rPr>
                <w:b/>
              </w:rPr>
              <w:t>Standards 9-12: Records, Confidentiality, Conflict of Interest, and Security</w:t>
            </w:r>
          </w:p>
        </w:tc>
      </w:tr>
      <w:tr w:rsidR="00002098" w:rsidTr="00FD2D15">
        <w:tc>
          <w:tcPr>
            <w:tcW w:w="5418" w:type="dxa"/>
            <w:tcBorders>
              <w:bottom w:val="single" w:sz="4" w:space="0" w:color="auto"/>
            </w:tcBorders>
          </w:tcPr>
          <w:p w:rsidR="00002098" w:rsidRDefault="00002098" w:rsidP="00496A3A">
            <w:pPr>
              <w:pStyle w:val="ListParagraph"/>
              <w:numPr>
                <w:ilvl w:val="0"/>
                <w:numId w:val="2"/>
              </w:numPr>
            </w:pPr>
            <w:r>
              <w:t xml:space="preserve">Records retention and management </w:t>
            </w:r>
            <w:r w:rsidR="00496A3A">
              <w:t>policies and practices follow</w:t>
            </w:r>
            <w:r>
              <w:t xml:space="preserve"> legal guidelines (Standard 9)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44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368" w:type="dxa"/>
            <w:tcBorders>
              <w:bottom w:val="single" w:sz="4" w:space="0" w:color="auto"/>
            </w:tcBorders>
          </w:tcPr>
          <w:p w:rsidR="00002098" w:rsidRDefault="00002098"/>
        </w:tc>
      </w:tr>
      <w:tr w:rsidR="00002098" w:rsidTr="00FD2D15">
        <w:tc>
          <w:tcPr>
            <w:tcW w:w="5418" w:type="dxa"/>
            <w:tcBorders>
              <w:bottom w:val="single" w:sz="4" w:space="0" w:color="auto"/>
            </w:tcBorders>
          </w:tcPr>
          <w:p w:rsidR="00002098" w:rsidDel="00002098" w:rsidRDefault="00002098" w:rsidP="00FD2D15">
            <w:pPr>
              <w:pStyle w:val="ListParagraph"/>
              <w:numPr>
                <w:ilvl w:val="0"/>
                <w:numId w:val="2"/>
              </w:numPr>
            </w:pPr>
            <w:r>
              <w:t>Confidentiality agreements and policies and procedures must protect privileged and confidential information (Standard 10)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44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368" w:type="dxa"/>
            <w:tcBorders>
              <w:bottom w:val="single" w:sz="4" w:space="0" w:color="auto"/>
            </w:tcBorders>
          </w:tcPr>
          <w:p w:rsidR="00002098" w:rsidRDefault="00002098"/>
        </w:tc>
      </w:tr>
      <w:tr w:rsidR="00002098" w:rsidTr="00FD2D15">
        <w:tc>
          <w:tcPr>
            <w:tcW w:w="5418" w:type="dxa"/>
            <w:tcBorders>
              <w:bottom w:val="single" w:sz="4" w:space="0" w:color="auto"/>
            </w:tcBorders>
          </w:tcPr>
          <w:p w:rsidR="00002098" w:rsidDel="00002098" w:rsidRDefault="00554B6D" w:rsidP="00554B6D">
            <w:pPr>
              <w:pStyle w:val="ListParagraph"/>
              <w:numPr>
                <w:ilvl w:val="0"/>
                <w:numId w:val="2"/>
              </w:numPr>
            </w:pPr>
            <w:r>
              <w:t>Demonstration of a</w:t>
            </w:r>
            <w:r w:rsidR="00002098">
              <w:t xml:space="preserve">voidance of conflict of interest in certification </w:t>
            </w:r>
            <w:r>
              <w:t>decisions or actions</w:t>
            </w:r>
            <w:r w:rsidR="00002098">
              <w:t xml:space="preserve"> (Standard 11)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44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368" w:type="dxa"/>
            <w:tcBorders>
              <w:bottom w:val="single" w:sz="4" w:space="0" w:color="auto"/>
            </w:tcBorders>
          </w:tcPr>
          <w:p w:rsidR="00002098" w:rsidRDefault="00002098"/>
        </w:tc>
      </w:tr>
      <w:tr w:rsidR="00002098" w:rsidTr="00FD2D15">
        <w:tc>
          <w:tcPr>
            <w:tcW w:w="5418" w:type="dxa"/>
            <w:tcBorders>
              <w:bottom w:val="single" w:sz="4" w:space="0" w:color="auto"/>
            </w:tcBorders>
          </w:tcPr>
          <w:p w:rsidR="00002098" w:rsidDel="00002098" w:rsidRDefault="00002098" w:rsidP="00FD2D15">
            <w:pPr>
              <w:pStyle w:val="ListParagraph"/>
              <w:numPr>
                <w:ilvl w:val="0"/>
                <w:numId w:val="2"/>
              </w:numPr>
            </w:pPr>
            <w:r>
              <w:t xml:space="preserve">Secure retention of records pertaining to candidate and examination </w:t>
            </w:r>
            <w:r w:rsidR="005134B2">
              <w:t>(</w:t>
            </w:r>
            <w:r>
              <w:t>Standard 12)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44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368" w:type="dxa"/>
            <w:tcBorders>
              <w:bottom w:val="single" w:sz="4" w:space="0" w:color="auto"/>
            </w:tcBorders>
          </w:tcPr>
          <w:p w:rsidR="00002098" w:rsidRDefault="00002098"/>
        </w:tc>
      </w:tr>
      <w:tr w:rsidR="00002098" w:rsidTr="00496728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02098" w:rsidRPr="00081904" w:rsidRDefault="00002098" w:rsidP="00636ACD">
            <w:pPr>
              <w:tabs>
                <w:tab w:val="left" w:pos="3105"/>
              </w:tabs>
              <w:rPr>
                <w:b/>
                <w:i/>
              </w:rPr>
            </w:pPr>
            <w:r>
              <w:rPr>
                <w:b/>
                <w:i/>
              </w:rPr>
              <w:t>Illustrative sources of s</w:t>
            </w:r>
            <w:r w:rsidRPr="00081904">
              <w:rPr>
                <w:b/>
                <w:i/>
              </w:rPr>
              <w:t>upporting</w:t>
            </w:r>
            <w:r>
              <w:rPr>
                <w:b/>
                <w:i/>
              </w:rPr>
              <w:t xml:space="preserve"> evidence:</w:t>
            </w:r>
            <w:r w:rsidRPr="00081904">
              <w:rPr>
                <w:b/>
                <w:i/>
              </w:rPr>
              <w:t xml:space="preserve"> </w:t>
            </w:r>
            <w:r w:rsidR="00636ACD">
              <w:rPr>
                <w:i/>
              </w:rPr>
              <w:t>Secure records retention, destruction policies, confidentiality and conflict of interest statements and agreements.</w:t>
            </w:r>
          </w:p>
        </w:tc>
      </w:tr>
      <w:tr w:rsidR="00002098" w:rsidTr="003A4DCF">
        <w:tc>
          <w:tcPr>
            <w:tcW w:w="9576" w:type="dxa"/>
            <w:gridSpan w:val="4"/>
            <w:shd w:val="clear" w:color="auto" w:fill="D9D9D9" w:themeFill="background1" w:themeFillShade="D9"/>
          </w:tcPr>
          <w:p w:rsidR="00002098" w:rsidRPr="00D23456" w:rsidRDefault="00002098" w:rsidP="00D234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Standards 13-18: Assessment Instruments</w:t>
            </w:r>
          </w:p>
        </w:tc>
      </w:tr>
      <w:tr w:rsidR="003D3564" w:rsidTr="00503034">
        <w:tc>
          <w:tcPr>
            <w:tcW w:w="5418" w:type="dxa"/>
          </w:tcPr>
          <w:p w:rsidR="003D3564" w:rsidRDefault="003D3564" w:rsidP="003D3564">
            <w:r>
              <w:t>Qualified, representative panels of subject matter experts for exam development and validation. (Standard 13)</w:t>
            </w:r>
          </w:p>
        </w:tc>
        <w:tc>
          <w:tcPr>
            <w:tcW w:w="1350" w:type="dxa"/>
          </w:tcPr>
          <w:p w:rsidR="003D3564" w:rsidRDefault="003D3564"/>
        </w:tc>
        <w:tc>
          <w:tcPr>
            <w:tcW w:w="1440" w:type="dxa"/>
          </w:tcPr>
          <w:p w:rsidR="003D3564" w:rsidRDefault="003D3564"/>
        </w:tc>
        <w:tc>
          <w:tcPr>
            <w:tcW w:w="1368" w:type="dxa"/>
          </w:tcPr>
          <w:p w:rsidR="003D3564" w:rsidRDefault="003D3564"/>
        </w:tc>
      </w:tr>
      <w:tr w:rsidR="00002098" w:rsidTr="00503034">
        <w:tc>
          <w:tcPr>
            <w:tcW w:w="5418" w:type="dxa"/>
          </w:tcPr>
          <w:p w:rsidR="003D3564" w:rsidRDefault="003D3564" w:rsidP="003D3564">
            <w:r>
              <w:t>Job analysis (Standard 14):</w:t>
            </w:r>
          </w:p>
          <w:p w:rsidR="00002098" w:rsidRDefault="003D3564" w:rsidP="003D3564">
            <w:pPr>
              <w:pStyle w:val="ListParagraph"/>
              <w:numPr>
                <w:ilvl w:val="0"/>
                <w:numId w:val="15"/>
              </w:numPr>
            </w:pPr>
            <w:r>
              <w:t>Published summary</w:t>
            </w:r>
          </w:p>
          <w:p w:rsidR="003D3564" w:rsidRDefault="003D3564" w:rsidP="003D3564">
            <w:pPr>
              <w:pStyle w:val="ListParagraph"/>
              <w:numPr>
                <w:ilvl w:val="0"/>
                <w:numId w:val="15"/>
              </w:numPr>
            </w:pPr>
            <w:r>
              <w:t>Clearly defined, appropriate methodology</w:t>
            </w:r>
          </w:p>
          <w:p w:rsidR="003D3564" w:rsidRDefault="003D3564" w:rsidP="003D3564">
            <w:pPr>
              <w:pStyle w:val="ListParagraph"/>
              <w:numPr>
                <w:ilvl w:val="0"/>
                <w:numId w:val="15"/>
              </w:numPr>
            </w:pPr>
            <w:r>
              <w:t>Documentation of all methods, results, outcomes</w:t>
            </w:r>
          </w:p>
          <w:p w:rsidR="003D3564" w:rsidRDefault="003D3564" w:rsidP="003D3564">
            <w:pPr>
              <w:pStyle w:val="ListParagraph"/>
              <w:numPr>
                <w:ilvl w:val="0"/>
                <w:numId w:val="15"/>
              </w:numPr>
            </w:pPr>
            <w:r>
              <w:t>Conducted frequently enough to reflect current practice</w:t>
            </w:r>
          </w:p>
        </w:tc>
        <w:tc>
          <w:tcPr>
            <w:tcW w:w="1350" w:type="dxa"/>
          </w:tcPr>
          <w:p w:rsidR="00002098" w:rsidRDefault="00002098"/>
        </w:tc>
        <w:tc>
          <w:tcPr>
            <w:tcW w:w="1440" w:type="dxa"/>
          </w:tcPr>
          <w:p w:rsidR="00002098" w:rsidRDefault="00002098"/>
        </w:tc>
        <w:tc>
          <w:tcPr>
            <w:tcW w:w="1368" w:type="dxa"/>
          </w:tcPr>
          <w:p w:rsidR="00002098" w:rsidRDefault="00002098"/>
        </w:tc>
      </w:tr>
      <w:tr w:rsidR="00002098" w:rsidTr="00503034">
        <w:tc>
          <w:tcPr>
            <w:tcW w:w="5418" w:type="dxa"/>
          </w:tcPr>
          <w:p w:rsidR="00002098" w:rsidRDefault="003D3564" w:rsidP="003D3564">
            <w:r>
              <w:t>Exam specifications (Standard 15)</w:t>
            </w:r>
          </w:p>
          <w:p w:rsidR="003D3564" w:rsidRDefault="003D3564" w:rsidP="003D3564">
            <w:pPr>
              <w:pStyle w:val="ListParagraph"/>
              <w:numPr>
                <w:ilvl w:val="0"/>
                <w:numId w:val="16"/>
              </w:numPr>
            </w:pPr>
            <w:r>
              <w:t>Define objective, intended purpose</w:t>
            </w:r>
          </w:p>
          <w:p w:rsidR="003D3564" w:rsidRDefault="003D3564" w:rsidP="003D3564">
            <w:pPr>
              <w:pStyle w:val="ListParagraph"/>
              <w:numPr>
                <w:ilvl w:val="0"/>
                <w:numId w:val="16"/>
              </w:numPr>
            </w:pPr>
            <w:r>
              <w:t>Address critical elements of the exam</w:t>
            </w:r>
          </w:p>
          <w:p w:rsidR="003D3564" w:rsidRDefault="003D3564" w:rsidP="003D3564">
            <w:pPr>
              <w:pStyle w:val="ListParagraph"/>
              <w:numPr>
                <w:ilvl w:val="0"/>
                <w:numId w:val="16"/>
              </w:numPr>
            </w:pPr>
            <w:r>
              <w:t>Weightings of exam are aligned to job analysis and exam blueprint</w:t>
            </w:r>
          </w:p>
        </w:tc>
        <w:tc>
          <w:tcPr>
            <w:tcW w:w="1350" w:type="dxa"/>
          </w:tcPr>
          <w:p w:rsidR="00002098" w:rsidRDefault="00002098"/>
        </w:tc>
        <w:tc>
          <w:tcPr>
            <w:tcW w:w="1440" w:type="dxa"/>
          </w:tcPr>
          <w:p w:rsidR="00002098" w:rsidRDefault="00002098"/>
        </w:tc>
        <w:tc>
          <w:tcPr>
            <w:tcW w:w="1368" w:type="dxa"/>
          </w:tcPr>
          <w:p w:rsidR="00002098" w:rsidRDefault="00002098"/>
        </w:tc>
      </w:tr>
      <w:tr w:rsidR="00002098" w:rsidTr="00FD2D15">
        <w:tc>
          <w:tcPr>
            <w:tcW w:w="5418" w:type="dxa"/>
            <w:tcBorders>
              <w:bottom w:val="single" w:sz="4" w:space="0" w:color="auto"/>
            </w:tcBorders>
          </w:tcPr>
          <w:p w:rsidR="00002098" w:rsidRDefault="003D3564" w:rsidP="003D3564">
            <w:r>
              <w:t>Examination development (Standard 16):</w:t>
            </w:r>
          </w:p>
          <w:p w:rsidR="003D3564" w:rsidRDefault="003D3564" w:rsidP="003D3564">
            <w:pPr>
              <w:pStyle w:val="ListParagraph"/>
              <w:numPr>
                <w:ilvl w:val="0"/>
                <w:numId w:val="17"/>
              </w:numPr>
            </w:pPr>
            <w:r>
              <w:t>Systematic, accurate, appropriate item development plan</w:t>
            </w:r>
          </w:p>
          <w:p w:rsidR="003D3564" w:rsidRDefault="003D3564" w:rsidP="003D3564">
            <w:pPr>
              <w:pStyle w:val="ListParagraph"/>
              <w:numPr>
                <w:ilvl w:val="0"/>
                <w:numId w:val="17"/>
              </w:numPr>
            </w:pPr>
            <w:r>
              <w:t>Appropriate design, documentation, execution so that sampling plan meets exam specifications</w:t>
            </w:r>
          </w:p>
          <w:p w:rsidR="003D3564" w:rsidRDefault="003D3564" w:rsidP="003D3564">
            <w:pPr>
              <w:pStyle w:val="ListParagraph"/>
              <w:numPr>
                <w:ilvl w:val="0"/>
                <w:numId w:val="17"/>
              </w:numPr>
            </w:pPr>
            <w:r>
              <w:t>Appropriate translation methods when applicable</w:t>
            </w:r>
          </w:p>
          <w:p w:rsidR="003D3564" w:rsidRDefault="003D3564" w:rsidP="003D3564">
            <w:pPr>
              <w:pStyle w:val="ListParagraph"/>
              <w:numPr>
                <w:ilvl w:val="0"/>
                <w:numId w:val="17"/>
              </w:numPr>
            </w:pPr>
            <w:r>
              <w:t>Comparability of content across forms</w:t>
            </w:r>
          </w:p>
          <w:p w:rsidR="003D3564" w:rsidRDefault="003D3564" w:rsidP="003D3564"/>
        </w:tc>
        <w:tc>
          <w:tcPr>
            <w:tcW w:w="135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44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368" w:type="dxa"/>
            <w:tcBorders>
              <w:bottom w:val="single" w:sz="4" w:space="0" w:color="auto"/>
            </w:tcBorders>
          </w:tcPr>
          <w:p w:rsidR="00002098" w:rsidRDefault="00002098"/>
        </w:tc>
      </w:tr>
      <w:tr w:rsidR="00002098" w:rsidTr="00FD2D15">
        <w:tc>
          <w:tcPr>
            <w:tcW w:w="5418" w:type="dxa"/>
            <w:tcBorders>
              <w:bottom w:val="single" w:sz="4" w:space="0" w:color="auto"/>
            </w:tcBorders>
          </w:tcPr>
          <w:p w:rsidR="00002098" w:rsidRDefault="00002098" w:rsidP="003D3564">
            <w:r>
              <w:t>The cut or passing score has been set using accepted criteria, and a technical report is published, outlining the methods, procedures, subject matter expert and consultant involvement, and results (</w:t>
            </w:r>
            <w:r w:rsidR="003D3564">
              <w:t>Standard 17)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44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368" w:type="dxa"/>
            <w:tcBorders>
              <w:bottom w:val="single" w:sz="4" w:space="0" w:color="auto"/>
            </w:tcBorders>
          </w:tcPr>
          <w:p w:rsidR="00002098" w:rsidRDefault="00002098"/>
        </w:tc>
      </w:tr>
      <w:tr w:rsidR="00E83B49" w:rsidTr="00C65A6E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E83B49" w:rsidRPr="00E83B49" w:rsidRDefault="00E83B49">
            <w:r>
              <w:rPr>
                <w:b/>
                <w:i/>
              </w:rPr>
              <w:t>Illustrative sources of s</w:t>
            </w:r>
            <w:r w:rsidRPr="00081904">
              <w:rPr>
                <w:b/>
                <w:i/>
              </w:rPr>
              <w:t>upporting</w:t>
            </w:r>
            <w:r>
              <w:rPr>
                <w:b/>
                <w:i/>
              </w:rPr>
              <w:t xml:space="preserve"> evidence:</w:t>
            </w:r>
            <w:r>
              <w:rPr>
                <w:i/>
              </w:rPr>
              <w:t xml:space="preserve"> Reports of job task analysis, cut score study, examination development, and examination specifications, and policy for frequency of cycle.</w:t>
            </w:r>
          </w:p>
        </w:tc>
      </w:tr>
      <w:tr w:rsidR="00E83B49" w:rsidTr="00E83B49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3B49" w:rsidRPr="00224349" w:rsidRDefault="00E83B49" w:rsidP="00E83B49">
            <w:pPr>
              <w:jc w:val="center"/>
              <w:rPr>
                <w:b/>
              </w:rPr>
            </w:pPr>
            <w:r w:rsidRPr="00224349">
              <w:rPr>
                <w:b/>
              </w:rPr>
              <w:t>Standard 18: Examination Administration</w:t>
            </w:r>
          </w:p>
        </w:tc>
      </w:tr>
      <w:tr w:rsidR="00224349" w:rsidTr="00FD2D15">
        <w:tc>
          <w:tcPr>
            <w:tcW w:w="5418" w:type="dxa"/>
            <w:tcBorders>
              <w:bottom w:val="single" w:sz="4" w:space="0" w:color="auto"/>
            </w:tcBorders>
          </w:tcPr>
          <w:p w:rsidR="00224349" w:rsidRDefault="00224349" w:rsidP="00224349">
            <w:r>
              <w:t>Secure, confidential protocols for exam from storage to conveyance, administration, and disposal, irregular behavior reporting and handling (Standard 18A)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24349" w:rsidRDefault="00224349"/>
        </w:tc>
        <w:tc>
          <w:tcPr>
            <w:tcW w:w="1440" w:type="dxa"/>
            <w:tcBorders>
              <w:bottom w:val="single" w:sz="4" w:space="0" w:color="auto"/>
            </w:tcBorders>
          </w:tcPr>
          <w:p w:rsidR="00224349" w:rsidRDefault="00224349"/>
        </w:tc>
        <w:tc>
          <w:tcPr>
            <w:tcW w:w="1368" w:type="dxa"/>
            <w:tcBorders>
              <w:bottom w:val="single" w:sz="4" w:space="0" w:color="auto"/>
            </w:tcBorders>
          </w:tcPr>
          <w:p w:rsidR="00224349" w:rsidRDefault="00224349"/>
        </w:tc>
      </w:tr>
      <w:tr w:rsidR="00224349" w:rsidTr="00FD2D15">
        <w:tc>
          <w:tcPr>
            <w:tcW w:w="5418" w:type="dxa"/>
            <w:tcBorders>
              <w:bottom w:val="single" w:sz="4" w:space="0" w:color="auto"/>
            </w:tcBorders>
          </w:tcPr>
          <w:p w:rsidR="00224349" w:rsidRDefault="00224349" w:rsidP="003D3564">
            <w:r>
              <w:t>Standardized procedures for all modes of test delivery for comparability of results, fairness  (Standard 18B)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24349" w:rsidRDefault="00224349"/>
        </w:tc>
        <w:tc>
          <w:tcPr>
            <w:tcW w:w="1440" w:type="dxa"/>
            <w:tcBorders>
              <w:bottom w:val="single" w:sz="4" w:space="0" w:color="auto"/>
            </w:tcBorders>
          </w:tcPr>
          <w:p w:rsidR="00224349" w:rsidRDefault="00224349"/>
        </w:tc>
        <w:tc>
          <w:tcPr>
            <w:tcW w:w="1368" w:type="dxa"/>
            <w:tcBorders>
              <w:bottom w:val="single" w:sz="4" w:space="0" w:color="auto"/>
            </w:tcBorders>
          </w:tcPr>
          <w:p w:rsidR="00224349" w:rsidRDefault="00224349"/>
        </w:tc>
      </w:tr>
      <w:tr w:rsidR="00224349" w:rsidTr="00FD2D15">
        <w:tc>
          <w:tcPr>
            <w:tcW w:w="5418" w:type="dxa"/>
            <w:tcBorders>
              <w:bottom w:val="single" w:sz="4" w:space="0" w:color="auto"/>
            </w:tcBorders>
          </w:tcPr>
          <w:p w:rsidR="00224349" w:rsidRDefault="00224349" w:rsidP="003D3564">
            <w:r>
              <w:t>Trained proctors are used that do not have a conflict of interest or vested interest in the outcome of exams (standard 18C)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24349" w:rsidRDefault="00224349"/>
        </w:tc>
        <w:tc>
          <w:tcPr>
            <w:tcW w:w="1440" w:type="dxa"/>
            <w:tcBorders>
              <w:bottom w:val="single" w:sz="4" w:space="0" w:color="auto"/>
            </w:tcBorders>
          </w:tcPr>
          <w:p w:rsidR="00224349" w:rsidRDefault="00224349"/>
        </w:tc>
        <w:tc>
          <w:tcPr>
            <w:tcW w:w="1368" w:type="dxa"/>
            <w:tcBorders>
              <w:bottom w:val="single" w:sz="4" w:space="0" w:color="auto"/>
            </w:tcBorders>
          </w:tcPr>
          <w:p w:rsidR="00224349" w:rsidRDefault="00224349"/>
        </w:tc>
      </w:tr>
      <w:tr w:rsidR="00224349" w:rsidTr="00FD2D15">
        <w:tc>
          <w:tcPr>
            <w:tcW w:w="5418" w:type="dxa"/>
            <w:tcBorders>
              <w:bottom w:val="single" w:sz="4" w:space="0" w:color="auto"/>
            </w:tcBorders>
          </w:tcPr>
          <w:p w:rsidR="00224349" w:rsidRDefault="00224349" w:rsidP="003D3564">
            <w:r>
              <w:t>Monitoring of ongoing compliance with exam administration and security procedures (Standard 18D)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24349" w:rsidRDefault="00224349"/>
        </w:tc>
        <w:tc>
          <w:tcPr>
            <w:tcW w:w="1440" w:type="dxa"/>
            <w:tcBorders>
              <w:bottom w:val="single" w:sz="4" w:space="0" w:color="auto"/>
            </w:tcBorders>
          </w:tcPr>
          <w:p w:rsidR="00224349" w:rsidRDefault="00224349"/>
        </w:tc>
        <w:tc>
          <w:tcPr>
            <w:tcW w:w="1368" w:type="dxa"/>
            <w:tcBorders>
              <w:bottom w:val="single" w:sz="4" w:space="0" w:color="auto"/>
            </w:tcBorders>
          </w:tcPr>
          <w:p w:rsidR="00224349" w:rsidRDefault="00224349"/>
        </w:tc>
      </w:tr>
      <w:tr w:rsidR="00824DF9" w:rsidTr="00824DF9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24DF9" w:rsidRPr="00224349" w:rsidRDefault="00824DF9" w:rsidP="00824DF9">
            <w:pPr>
              <w:rPr>
                <w:b/>
              </w:rPr>
            </w:pPr>
            <w:r>
              <w:rPr>
                <w:b/>
                <w:i/>
              </w:rPr>
              <w:t>Illustrative sources of s</w:t>
            </w:r>
            <w:r w:rsidRPr="00081904">
              <w:rPr>
                <w:b/>
                <w:i/>
              </w:rPr>
              <w:t>upporting</w:t>
            </w:r>
            <w:r>
              <w:rPr>
                <w:b/>
                <w:i/>
              </w:rPr>
              <w:t xml:space="preserve"> evidence:</w:t>
            </w:r>
            <w:r>
              <w:rPr>
                <w:i/>
              </w:rPr>
              <w:t xml:space="preserve"> security manuals, proctor manuals, candidate handbooks, exam administration manuals, QAS policies, non-disclosure agreements</w:t>
            </w:r>
          </w:p>
        </w:tc>
      </w:tr>
      <w:tr w:rsidR="00224349" w:rsidTr="00224349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24349" w:rsidRPr="00224349" w:rsidRDefault="00224349" w:rsidP="00224349">
            <w:pPr>
              <w:jc w:val="center"/>
              <w:rPr>
                <w:b/>
              </w:rPr>
            </w:pPr>
            <w:r w:rsidRPr="00224349">
              <w:rPr>
                <w:b/>
              </w:rPr>
              <w:t>Standards 19-21: Score reporting, Reliability, and Equating</w:t>
            </w:r>
          </w:p>
        </w:tc>
      </w:tr>
      <w:tr w:rsidR="00002098" w:rsidTr="00FD2D15">
        <w:tc>
          <w:tcPr>
            <w:tcW w:w="5418" w:type="dxa"/>
            <w:tcBorders>
              <w:bottom w:val="single" w:sz="4" w:space="0" w:color="auto"/>
            </w:tcBorders>
          </w:tcPr>
          <w:p w:rsidR="00824DF9" w:rsidRDefault="00002098" w:rsidP="00824DF9">
            <w:r>
              <w:t xml:space="preserve">The program has documented the psychometric procedures used to score, interpret, and report assessment results </w:t>
            </w:r>
            <w:r w:rsidR="00C65A6E">
              <w:t>that let the candidate know their performance against the passing standard (Standard 19).</w:t>
            </w:r>
          </w:p>
          <w:p w:rsidR="00002098" w:rsidRDefault="00824DF9" w:rsidP="00824DF9">
            <w:r>
              <w:t xml:space="preserve">For responses scored by judgment, judge qualifications </w:t>
            </w:r>
            <w:r>
              <w:lastRenderedPageBreak/>
              <w:t>and selection, standards, and training materials are documented.</w:t>
            </w:r>
            <w:r w:rsidR="00C65A6E"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44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368" w:type="dxa"/>
            <w:tcBorders>
              <w:bottom w:val="single" w:sz="4" w:space="0" w:color="auto"/>
            </w:tcBorders>
          </w:tcPr>
          <w:p w:rsidR="00002098" w:rsidRDefault="00002098"/>
        </w:tc>
      </w:tr>
      <w:tr w:rsidR="00002098" w:rsidTr="00FD2D15">
        <w:tc>
          <w:tcPr>
            <w:tcW w:w="5418" w:type="dxa"/>
            <w:tcBorders>
              <w:bottom w:val="single" w:sz="4" w:space="0" w:color="auto"/>
            </w:tcBorders>
          </w:tcPr>
          <w:p w:rsidR="00002098" w:rsidRDefault="00C65A6E" w:rsidP="00824DF9">
            <w:r>
              <w:lastRenderedPageBreak/>
              <w:t>There must be evidence of sufficient reliability of candidate scores (Standard 20)</w:t>
            </w:r>
            <w:r w:rsidR="00824DF9">
              <w:t xml:space="preserve">.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44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368" w:type="dxa"/>
            <w:tcBorders>
              <w:bottom w:val="single" w:sz="4" w:space="0" w:color="auto"/>
            </w:tcBorders>
          </w:tcPr>
          <w:p w:rsidR="00002098" w:rsidRDefault="00002098"/>
        </w:tc>
      </w:tr>
      <w:tr w:rsidR="00002098" w:rsidTr="00FD2D15">
        <w:tc>
          <w:tcPr>
            <w:tcW w:w="5418" w:type="dxa"/>
            <w:tcBorders>
              <w:bottom w:val="single" w:sz="4" w:space="0" w:color="auto"/>
            </w:tcBorders>
          </w:tcPr>
          <w:p w:rsidR="00002098" w:rsidRDefault="00824DF9" w:rsidP="00824DF9">
            <w:r>
              <w:t>Different forms, test delivery methods must be fair and not advantage or disadvantage candidates (Standard 21), including translated forms.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44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368" w:type="dxa"/>
            <w:tcBorders>
              <w:bottom w:val="single" w:sz="4" w:space="0" w:color="auto"/>
            </w:tcBorders>
          </w:tcPr>
          <w:p w:rsidR="00002098" w:rsidRDefault="00002098"/>
        </w:tc>
      </w:tr>
      <w:tr w:rsidR="00824DF9" w:rsidTr="00824DF9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824DF9" w:rsidRPr="00824DF9" w:rsidRDefault="00824DF9">
            <w:r>
              <w:rPr>
                <w:b/>
                <w:i/>
              </w:rPr>
              <w:t>Illustrative sources of s</w:t>
            </w:r>
            <w:r w:rsidRPr="00081904">
              <w:rPr>
                <w:b/>
                <w:i/>
              </w:rPr>
              <w:t>upporting</w:t>
            </w:r>
            <w:r>
              <w:rPr>
                <w:b/>
                <w:i/>
              </w:rPr>
              <w:t xml:space="preserve"> evidence:</w:t>
            </w:r>
            <w:r>
              <w:rPr>
                <w:i/>
              </w:rPr>
              <w:t xml:space="preserve"> technical reports showing pass/fail letters, reliability, equating and evidence of comparability.</w:t>
            </w:r>
          </w:p>
        </w:tc>
      </w:tr>
      <w:tr w:rsidR="00824DF9" w:rsidTr="00824DF9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24DF9" w:rsidRPr="00824DF9" w:rsidRDefault="00824DF9" w:rsidP="00824DF9">
            <w:pPr>
              <w:jc w:val="center"/>
              <w:rPr>
                <w:b/>
              </w:rPr>
            </w:pPr>
            <w:r w:rsidRPr="00824DF9">
              <w:rPr>
                <w:b/>
              </w:rPr>
              <w:t>Standard 22: Maintaining Certification</w:t>
            </w:r>
          </w:p>
        </w:tc>
      </w:tr>
      <w:tr w:rsidR="00002098" w:rsidTr="00FD2D15">
        <w:tc>
          <w:tcPr>
            <w:tcW w:w="5418" w:type="dxa"/>
            <w:tcBorders>
              <w:bottom w:val="single" w:sz="4" w:space="0" w:color="auto"/>
            </w:tcBorders>
          </w:tcPr>
          <w:p w:rsidR="00002098" w:rsidRDefault="00824DF9" w:rsidP="00824DF9">
            <w:r>
              <w:t>Periodic recertification is required:</w:t>
            </w:r>
          </w:p>
          <w:p w:rsidR="00824DF9" w:rsidRDefault="00824DF9" w:rsidP="00824DF9">
            <w:pPr>
              <w:pStyle w:val="ListParagraph"/>
              <w:numPr>
                <w:ilvl w:val="0"/>
                <w:numId w:val="18"/>
              </w:numPr>
            </w:pPr>
            <w:r>
              <w:t>Definition of continuing competence</w:t>
            </w:r>
          </w:p>
          <w:p w:rsidR="00824DF9" w:rsidRDefault="00824DF9" w:rsidP="00824DF9">
            <w:pPr>
              <w:pStyle w:val="ListParagraph"/>
              <w:numPr>
                <w:ilvl w:val="0"/>
                <w:numId w:val="18"/>
              </w:numPr>
            </w:pPr>
            <w:r>
              <w:t>Time-limited</w:t>
            </w:r>
          </w:p>
          <w:p w:rsidR="00824DF9" w:rsidRDefault="00824DF9" w:rsidP="00824DF9">
            <w:pPr>
              <w:pStyle w:val="ListParagraph"/>
              <w:numPr>
                <w:ilvl w:val="0"/>
                <w:numId w:val="18"/>
              </w:numPr>
            </w:pPr>
            <w:r>
              <w:t>Criteria for recertification (retesting or continuing education) with appropriate rationale</w:t>
            </w:r>
          </w:p>
          <w:p w:rsidR="00824DF9" w:rsidRDefault="00824DF9" w:rsidP="00824DF9">
            <w:pPr>
              <w:pStyle w:val="ListParagraph"/>
              <w:numPr>
                <w:ilvl w:val="0"/>
                <w:numId w:val="18"/>
              </w:numPr>
            </w:pPr>
            <w:r>
              <w:t>Verification that candidates meet requirements</w:t>
            </w:r>
          </w:p>
          <w:p w:rsidR="00824DF9" w:rsidRDefault="00824DF9" w:rsidP="00824DF9">
            <w:pPr>
              <w:pStyle w:val="ListParagraph"/>
              <w:numPr>
                <w:ilvl w:val="0"/>
                <w:numId w:val="18"/>
              </w:numPr>
            </w:pPr>
            <w:r>
              <w:t>Publicly available requirements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440" w:type="dxa"/>
            <w:tcBorders>
              <w:bottom w:val="single" w:sz="4" w:space="0" w:color="auto"/>
            </w:tcBorders>
          </w:tcPr>
          <w:p w:rsidR="00002098" w:rsidRDefault="00002098"/>
        </w:tc>
        <w:tc>
          <w:tcPr>
            <w:tcW w:w="1368" w:type="dxa"/>
            <w:tcBorders>
              <w:bottom w:val="single" w:sz="4" w:space="0" w:color="auto"/>
            </w:tcBorders>
          </w:tcPr>
          <w:p w:rsidR="00002098" w:rsidRDefault="00002098"/>
        </w:tc>
      </w:tr>
      <w:tr w:rsidR="00824DF9" w:rsidTr="00824DF9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24DF9" w:rsidRPr="00824DF9" w:rsidRDefault="00824DF9">
            <w:r>
              <w:rPr>
                <w:b/>
                <w:i/>
              </w:rPr>
              <w:t>Illustrative sources of s</w:t>
            </w:r>
            <w:r w:rsidRPr="00081904">
              <w:rPr>
                <w:b/>
                <w:i/>
              </w:rPr>
              <w:t>upporting</w:t>
            </w:r>
            <w:r>
              <w:rPr>
                <w:b/>
                <w:i/>
              </w:rPr>
              <w:t xml:space="preserve"> evidence:</w:t>
            </w:r>
            <w:r>
              <w:rPr>
                <w:i/>
              </w:rPr>
              <w:t xml:space="preserve"> candidate handbook, websites, policies and procedures</w:t>
            </w:r>
          </w:p>
        </w:tc>
      </w:tr>
      <w:tr w:rsidR="00824DF9" w:rsidTr="00824DF9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24DF9" w:rsidRDefault="00824DF9">
            <w:r>
              <w:t>Standard 23: Quality Assurance</w:t>
            </w:r>
          </w:p>
        </w:tc>
      </w:tr>
      <w:tr w:rsidR="00002098" w:rsidTr="00FD2D15">
        <w:tc>
          <w:tcPr>
            <w:tcW w:w="5418" w:type="dxa"/>
            <w:tcBorders>
              <w:bottom w:val="single" w:sz="4" w:space="0" w:color="auto"/>
            </w:tcBorders>
          </w:tcPr>
          <w:p w:rsidR="00002098" w:rsidRDefault="00824DF9" w:rsidP="00824DF9">
            <w:r>
              <w:t>Quality assurance program with:</w:t>
            </w:r>
          </w:p>
          <w:p w:rsidR="00824DF9" w:rsidRDefault="00824DF9" w:rsidP="00824DF9">
            <w:pPr>
              <w:pStyle w:val="ListParagraph"/>
              <w:numPr>
                <w:ilvl w:val="0"/>
                <w:numId w:val="19"/>
              </w:numPr>
            </w:pPr>
            <w:r>
              <w:t>monitoring of program activities</w:t>
            </w:r>
          </w:p>
          <w:p w:rsidR="00824DF9" w:rsidRDefault="00824DF9" w:rsidP="00824DF9">
            <w:pPr>
              <w:pStyle w:val="ListParagraph"/>
              <w:numPr>
                <w:ilvl w:val="0"/>
                <w:numId w:val="19"/>
              </w:numPr>
            </w:pPr>
            <w:r>
              <w:t>process for dealing with errors</w:t>
            </w:r>
          </w:p>
          <w:p w:rsidR="00824DF9" w:rsidRPr="00866DC3" w:rsidRDefault="00824DF9" w:rsidP="00824DF9">
            <w:pPr>
              <w:pStyle w:val="ListParagraph"/>
              <w:numPr>
                <w:ilvl w:val="0"/>
                <w:numId w:val="19"/>
              </w:numPr>
            </w:pPr>
            <w:r>
              <w:t>policies and procedures for regular review of exams and results and corrective actions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02098" w:rsidRPr="001D2CF5" w:rsidRDefault="00002098">
            <w:pPr>
              <w:rPr>
                <w:highlight w:val="yell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2098" w:rsidRPr="001D2CF5" w:rsidRDefault="00002098">
            <w:pPr>
              <w:rPr>
                <w:highlight w:val="yellow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02098" w:rsidRDefault="00002098"/>
        </w:tc>
      </w:tr>
      <w:tr w:rsidR="00824DF9" w:rsidTr="00824DF9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24DF9" w:rsidRDefault="00824DF9">
            <w:r>
              <w:rPr>
                <w:b/>
                <w:i/>
              </w:rPr>
              <w:t>Illustrative sources of s</w:t>
            </w:r>
            <w:r w:rsidRPr="00081904">
              <w:rPr>
                <w:b/>
                <w:i/>
              </w:rPr>
              <w:t>upporting</w:t>
            </w:r>
            <w:r>
              <w:rPr>
                <w:b/>
                <w:i/>
              </w:rPr>
              <w:t xml:space="preserve"> evidence: </w:t>
            </w:r>
            <w:r w:rsidRPr="00824DF9">
              <w:rPr>
                <w:i/>
              </w:rPr>
              <w:t>policies and procedures, quality assurance policies, meeting minutes, calendars or schedules, training logs.</w:t>
            </w:r>
          </w:p>
        </w:tc>
      </w:tr>
      <w:tr w:rsidR="00002098" w:rsidTr="003A4DCF">
        <w:tc>
          <w:tcPr>
            <w:tcW w:w="9576" w:type="dxa"/>
            <w:gridSpan w:val="4"/>
            <w:shd w:val="clear" w:color="auto" w:fill="D9D9D9" w:themeFill="background1" w:themeFillShade="D9"/>
          </w:tcPr>
          <w:p w:rsidR="00002098" w:rsidRPr="00D23456" w:rsidRDefault="00DD226E" w:rsidP="00D23456">
            <w:pPr>
              <w:jc w:val="center"/>
              <w:rPr>
                <w:b/>
              </w:rPr>
            </w:pPr>
            <w:r>
              <w:rPr>
                <w:b/>
              </w:rPr>
              <w:t>Standard 24</w:t>
            </w:r>
            <w:r w:rsidR="00002098">
              <w:rPr>
                <w:b/>
              </w:rPr>
              <w:t>: Maintaining Accreditation</w:t>
            </w:r>
          </w:p>
        </w:tc>
      </w:tr>
      <w:tr w:rsidR="00002098" w:rsidTr="00503034">
        <w:tc>
          <w:tcPr>
            <w:tcW w:w="5418" w:type="dxa"/>
          </w:tcPr>
          <w:p w:rsidR="00002098" w:rsidRDefault="00002098" w:rsidP="00DD226E">
            <w:pPr>
              <w:pStyle w:val="NoSpacing"/>
            </w:pPr>
            <w:r>
              <w:t xml:space="preserve">I am aware that an annual report must be submitted by June 1 of each year, and </w:t>
            </w:r>
            <w:r w:rsidR="00DD226E">
              <w:t xml:space="preserve">will routinely report </w:t>
            </w:r>
            <w:r>
              <w:t xml:space="preserve">substantive changes to any aspects of my program(s) </w:t>
            </w:r>
            <w:r w:rsidR="00DD226E">
              <w:t xml:space="preserve">throughout the year </w:t>
            </w:r>
            <w:r>
              <w:t>as well as aggregate statistical data and reports of appeals or complaints</w:t>
            </w:r>
            <w:r w:rsidR="00DD226E">
              <w:t>.</w:t>
            </w:r>
          </w:p>
        </w:tc>
        <w:tc>
          <w:tcPr>
            <w:tcW w:w="1350" w:type="dxa"/>
          </w:tcPr>
          <w:p w:rsidR="00002098" w:rsidRDefault="00002098"/>
        </w:tc>
        <w:tc>
          <w:tcPr>
            <w:tcW w:w="1440" w:type="dxa"/>
          </w:tcPr>
          <w:p w:rsidR="00002098" w:rsidRDefault="00002098"/>
        </w:tc>
        <w:tc>
          <w:tcPr>
            <w:tcW w:w="1368" w:type="dxa"/>
          </w:tcPr>
          <w:p w:rsidR="00002098" w:rsidRDefault="00002098"/>
        </w:tc>
      </w:tr>
    </w:tbl>
    <w:p w:rsidR="0030451E" w:rsidRDefault="0030451E" w:rsidP="0082795F"/>
    <w:sectPr w:rsidR="0030451E" w:rsidSect="00CE1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412"/>
    <w:multiLevelType w:val="hybridMultilevel"/>
    <w:tmpl w:val="94AE6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253BE"/>
    <w:multiLevelType w:val="hybridMultilevel"/>
    <w:tmpl w:val="03924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A4D6C"/>
    <w:multiLevelType w:val="hybridMultilevel"/>
    <w:tmpl w:val="A3CE8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62EB"/>
    <w:multiLevelType w:val="hybridMultilevel"/>
    <w:tmpl w:val="AA5E4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761DB"/>
    <w:multiLevelType w:val="hybridMultilevel"/>
    <w:tmpl w:val="E342E618"/>
    <w:lvl w:ilvl="0" w:tplc="C81A30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B4C48"/>
    <w:multiLevelType w:val="hybridMultilevel"/>
    <w:tmpl w:val="6A3A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14F0C"/>
    <w:multiLevelType w:val="hybridMultilevel"/>
    <w:tmpl w:val="904E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01522"/>
    <w:multiLevelType w:val="hybridMultilevel"/>
    <w:tmpl w:val="C5283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D0BC1"/>
    <w:multiLevelType w:val="hybridMultilevel"/>
    <w:tmpl w:val="AA5E4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A1F10"/>
    <w:multiLevelType w:val="hybridMultilevel"/>
    <w:tmpl w:val="E14A8C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81CA2"/>
    <w:multiLevelType w:val="hybridMultilevel"/>
    <w:tmpl w:val="95788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3671E"/>
    <w:multiLevelType w:val="hybridMultilevel"/>
    <w:tmpl w:val="D7EC2B66"/>
    <w:lvl w:ilvl="0" w:tplc="727EC0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B329C"/>
    <w:multiLevelType w:val="hybridMultilevel"/>
    <w:tmpl w:val="915C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77E18"/>
    <w:multiLevelType w:val="hybridMultilevel"/>
    <w:tmpl w:val="C2E66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322C"/>
    <w:multiLevelType w:val="hybridMultilevel"/>
    <w:tmpl w:val="04A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A236B"/>
    <w:multiLevelType w:val="hybridMultilevel"/>
    <w:tmpl w:val="1FC65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573D7"/>
    <w:multiLevelType w:val="hybridMultilevel"/>
    <w:tmpl w:val="CA5CA6F6"/>
    <w:lvl w:ilvl="0" w:tplc="1F8A3C4E">
      <w:start w:val="6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615F4472"/>
    <w:multiLevelType w:val="hybridMultilevel"/>
    <w:tmpl w:val="39B2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86D9C"/>
    <w:multiLevelType w:val="hybridMultilevel"/>
    <w:tmpl w:val="74206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5"/>
  </w:num>
  <w:num w:numId="5">
    <w:abstractNumId w:val="4"/>
  </w:num>
  <w:num w:numId="6">
    <w:abstractNumId w:val="1"/>
  </w:num>
  <w:num w:numId="7">
    <w:abstractNumId w:val="9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16"/>
  </w:num>
  <w:num w:numId="13">
    <w:abstractNumId w:val="11"/>
  </w:num>
  <w:num w:numId="14">
    <w:abstractNumId w:val="18"/>
  </w:num>
  <w:num w:numId="15">
    <w:abstractNumId w:val="5"/>
  </w:num>
  <w:num w:numId="16">
    <w:abstractNumId w:val="6"/>
  </w:num>
  <w:num w:numId="17">
    <w:abstractNumId w:val="14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1E"/>
    <w:rsid w:val="00002098"/>
    <w:rsid w:val="00067E36"/>
    <w:rsid w:val="00081904"/>
    <w:rsid w:val="000A7A74"/>
    <w:rsid w:val="000C4196"/>
    <w:rsid w:val="000F1A06"/>
    <w:rsid w:val="00141BCC"/>
    <w:rsid w:val="00163E4B"/>
    <w:rsid w:val="00171ADA"/>
    <w:rsid w:val="00183703"/>
    <w:rsid w:val="001D2CF5"/>
    <w:rsid w:val="00224349"/>
    <w:rsid w:val="002752BC"/>
    <w:rsid w:val="002831F8"/>
    <w:rsid w:val="002D5B5A"/>
    <w:rsid w:val="002F27A3"/>
    <w:rsid w:val="0030451E"/>
    <w:rsid w:val="003127A3"/>
    <w:rsid w:val="003139EB"/>
    <w:rsid w:val="00320008"/>
    <w:rsid w:val="00336404"/>
    <w:rsid w:val="00340166"/>
    <w:rsid w:val="00366B28"/>
    <w:rsid w:val="003833DA"/>
    <w:rsid w:val="003916DA"/>
    <w:rsid w:val="003A4DCF"/>
    <w:rsid w:val="003D3564"/>
    <w:rsid w:val="003E0086"/>
    <w:rsid w:val="004022E0"/>
    <w:rsid w:val="00496728"/>
    <w:rsid w:val="00496A3A"/>
    <w:rsid w:val="004D3A64"/>
    <w:rsid w:val="00503034"/>
    <w:rsid w:val="005134B2"/>
    <w:rsid w:val="0051737C"/>
    <w:rsid w:val="00554B6D"/>
    <w:rsid w:val="00556551"/>
    <w:rsid w:val="00564F13"/>
    <w:rsid w:val="005666EB"/>
    <w:rsid w:val="005B010C"/>
    <w:rsid w:val="006014AA"/>
    <w:rsid w:val="00624159"/>
    <w:rsid w:val="00636ACD"/>
    <w:rsid w:val="00644EE4"/>
    <w:rsid w:val="00652759"/>
    <w:rsid w:val="00654093"/>
    <w:rsid w:val="006839E7"/>
    <w:rsid w:val="00696106"/>
    <w:rsid w:val="006D7667"/>
    <w:rsid w:val="006E7543"/>
    <w:rsid w:val="006F4321"/>
    <w:rsid w:val="006F43A2"/>
    <w:rsid w:val="007060F2"/>
    <w:rsid w:val="0075018E"/>
    <w:rsid w:val="007875CC"/>
    <w:rsid w:val="007F5146"/>
    <w:rsid w:val="00824DF9"/>
    <w:rsid w:val="00824ECE"/>
    <w:rsid w:val="0082795F"/>
    <w:rsid w:val="00864C4F"/>
    <w:rsid w:val="00866DC3"/>
    <w:rsid w:val="009027BD"/>
    <w:rsid w:val="0090388B"/>
    <w:rsid w:val="009116BF"/>
    <w:rsid w:val="0097223D"/>
    <w:rsid w:val="00984C70"/>
    <w:rsid w:val="00986157"/>
    <w:rsid w:val="009A651B"/>
    <w:rsid w:val="009C2EE4"/>
    <w:rsid w:val="009C479A"/>
    <w:rsid w:val="009E601B"/>
    <w:rsid w:val="00A369CF"/>
    <w:rsid w:val="00A763A5"/>
    <w:rsid w:val="00A93E0B"/>
    <w:rsid w:val="00AD77DD"/>
    <w:rsid w:val="00B000EA"/>
    <w:rsid w:val="00B40C2C"/>
    <w:rsid w:val="00B42FC0"/>
    <w:rsid w:val="00B9252D"/>
    <w:rsid w:val="00BA1572"/>
    <w:rsid w:val="00BC1986"/>
    <w:rsid w:val="00BD6213"/>
    <w:rsid w:val="00BE2F39"/>
    <w:rsid w:val="00BE5B4B"/>
    <w:rsid w:val="00C05341"/>
    <w:rsid w:val="00C316E9"/>
    <w:rsid w:val="00C35C37"/>
    <w:rsid w:val="00C376B7"/>
    <w:rsid w:val="00C45862"/>
    <w:rsid w:val="00C46324"/>
    <w:rsid w:val="00C53C82"/>
    <w:rsid w:val="00C65A6E"/>
    <w:rsid w:val="00C80862"/>
    <w:rsid w:val="00CC769B"/>
    <w:rsid w:val="00CD2174"/>
    <w:rsid w:val="00CE1C86"/>
    <w:rsid w:val="00CE6654"/>
    <w:rsid w:val="00D014FA"/>
    <w:rsid w:val="00D1094C"/>
    <w:rsid w:val="00D23456"/>
    <w:rsid w:val="00D25E1D"/>
    <w:rsid w:val="00D34FDA"/>
    <w:rsid w:val="00D52ADC"/>
    <w:rsid w:val="00D775A0"/>
    <w:rsid w:val="00DA14AA"/>
    <w:rsid w:val="00DA5F47"/>
    <w:rsid w:val="00DD226E"/>
    <w:rsid w:val="00DE084F"/>
    <w:rsid w:val="00E0789E"/>
    <w:rsid w:val="00E33C37"/>
    <w:rsid w:val="00E731F8"/>
    <w:rsid w:val="00E75186"/>
    <w:rsid w:val="00E758FF"/>
    <w:rsid w:val="00E7798D"/>
    <w:rsid w:val="00E83B49"/>
    <w:rsid w:val="00EE0AB1"/>
    <w:rsid w:val="00EF61E2"/>
    <w:rsid w:val="00EF73DC"/>
    <w:rsid w:val="00F17FEF"/>
    <w:rsid w:val="00F30B7C"/>
    <w:rsid w:val="00F9163D"/>
    <w:rsid w:val="00FB29B8"/>
    <w:rsid w:val="00FC1E5F"/>
    <w:rsid w:val="00FC4EFD"/>
    <w:rsid w:val="00FC7CD9"/>
    <w:rsid w:val="00FD2D15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45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9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A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2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5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45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9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A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2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5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DB1B-EA38-486F-8430-5FB1A4C2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7191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</dc:creator>
  <cp:lastModifiedBy>testpc2</cp:lastModifiedBy>
  <cp:revision>2</cp:revision>
  <cp:lastPrinted>2012-06-21T19:03:00Z</cp:lastPrinted>
  <dcterms:created xsi:type="dcterms:W3CDTF">2016-03-30T16:29:00Z</dcterms:created>
  <dcterms:modified xsi:type="dcterms:W3CDTF">2016-03-30T16:29:00Z</dcterms:modified>
</cp:coreProperties>
</file>